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91" w:rsidRDefault="00D07991" w:rsidP="00D07991">
      <w:pPr>
        <w:jc w:val="center"/>
        <w:rPr>
          <w:b/>
          <w:sz w:val="28"/>
          <w:szCs w:val="28"/>
        </w:rPr>
      </w:pPr>
      <w:proofErr w:type="spellStart"/>
      <w:r>
        <w:rPr>
          <w:b/>
          <w:sz w:val="28"/>
          <w:szCs w:val="28"/>
        </w:rPr>
        <w:t>Аналіз</w:t>
      </w:r>
      <w:proofErr w:type="spellEnd"/>
      <w:r>
        <w:rPr>
          <w:b/>
          <w:sz w:val="28"/>
          <w:szCs w:val="28"/>
        </w:rPr>
        <w:t xml:space="preserve"> регуляторного </w:t>
      </w:r>
      <w:proofErr w:type="spellStart"/>
      <w:r>
        <w:rPr>
          <w:b/>
          <w:sz w:val="28"/>
          <w:szCs w:val="28"/>
        </w:rPr>
        <w:t>впливу</w:t>
      </w:r>
      <w:proofErr w:type="spellEnd"/>
    </w:p>
    <w:p w:rsidR="00D07991" w:rsidRDefault="00D07991" w:rsidP="00D07991">
      <w:pPr>
        <w:jc w:val="center"/>
        <w:rPr>
          <w:sz w:val="28"/>
          <w:szCs w:val="28"/>
        </w:rPr>
      </w:pPr>
    </w:p>
    <w:p w:rsidR="00D07991" w:rsidRDefault="00D07991" w:rsidP="00D07991">
      <w:pPr>
        <w:widowControl w:val="0"/>
        <w:tabs>
          <w:tab w:val="left" w:pos="4320"/>
        </w:tabs>
        <w:autoSpaceDE w:val="0"/>
        <w:autoSpaceDN w:val="0"/>
        <w:adjustRightInd w:val="0"/>
        <w:ind w:right="-5"/>
        <w:jc w:val="center"/>
        <w:rPr>
          <w:sz w:val="28"/>
          <w:szCs w:val="28"/>
        </w:rPr>
      </w:pPr>
      <w:r>
        <w:rPr>
          <w:sz w:val="28"/>
          <w:szCs w:val="28"/>
        </w:rPr>
        <w:t>до проекту регуляторного акту – рішення Василівської районної ради</w:t>
      </w:r>
    </w:p>
    <w:p w:rsidR="00D07991" w:rsidRDefault="00D07991" w:rsidP="00D07991">
      <w:pPr>
        <w:widowControl w:val="0"/>
        <w:tabs>
          <w:tab w:val="left" w:pos="4320"/>
        </w:tabs>
        <w:autoSpaceDE w:val="0"/>
        <w:autoSpaceDN w:val="0"/>
        <w:adjustRightInd w:val="0"/>
        <w:ind w:right="-5"/>
        <w:jc w:val="both"/>
        <w:rPr>
          <w:sz w:val="28"/>
          <w:szCs w:val="28"/>
        </w:rPr>
      </w:pPr>
      <w:r>
        <w:rPr>
          <w:sz w:val="28"/>
          <w:szCs w:val="28"/>
        </w:rPr>
        <w:t>«Про внесення змін до рішення районної ради від 30.03.12 №12 «Про нормативно-правові документи з питань орендних відносин для об'єктів, що відносяться до спільної власності територіальних громад сіл, селища, міст Василівського району» (із змінами)»</w:t>
      </w:r>
    </w:p>
    <w:p w:rsidR="00D07991" w:rsidRDefault="00D07991" w:rsidP="00D07991">
      <w:pPr>
        <w:rPr>
          <w:sz w:val="28"/>
          <w:szCs w:val="28"/>
        </w:rPr>
      </w:pPr>
      <w:r>
        <w:rPr>
          <w:sz w:val="28"/>
          <w:szCs w:val="28"/>
        </w:rPr>
        <w:tab/>
      </w:r>
    </w:p>
    <w:p w:rsidR="00D07991" w:rsidRDefault="00D07991" w:rsidP="00D07991">
      <w:pPr>
        <w:ind w:firstLine="708"/>
        <w:jc w:val="both"/>
        <w:rPr>
          <w:b/>
          <w:sz w:val="28"/>
          <w:szCs w:val="28"/>
        </w:rPr>
      </w:pPr>
      <w:r>
        <w:rPr>
          <w:b/>
          <w:sz w:val="28"/>
          <w:szCs w:val="28"/>
        </w:rPr>
        <w:t>I. Опис проблем, які передбачається розв’язати шляхом державного регулювання, оцінка важливості цієї проблеми.</w:t>
      </w:r>
    </w:p>
    <w:p w:rsidR="00D07991" w:rsidRPr="002C014C" w:rsidRDefault="00D07991" w:rsidP="00D07991">
      <w:pPr>
        <w:widowControl w:val="0"/>
        <w:autoSpaceDE w:val="0"/>
        <w:autoSpaceDN w:val="0"/>
        <w:adjustRightInd w:val="0"/>
        <w:ind w:firstLine="720"/>
        <w:jc w:val="both"/>
        <w:rPr>
          <w:rFonts w:ascii="Arial" w:hAnsi="Arial" w:cs="Arial"/>
          <w:sz w:val="28"/>
          <w:szCs w:val="28"/>
        </w:rPr>
      </w:pPr>
      <w:r>
        <w:rPr>
          <w:sz w:val="28"/>
          <w:szCs w:val="28"/>
        </w:rPr>
        <w:t>1.1. Пунктом 3.20. передбачено з</w:t>
      </w:r>
      <w:r w:rsidRPr="002C014C">
        <w:rPr>
          <w:sz w:val="28"/>
          <w:szCs w:val="28"/>
        </w:rPr>
        <w:t xml:space="preserve"> укладанням договору оренди Орендарем та Балансоутримувачем орендованого нерухомого майна укладається договір про відшкодування Орендарем витрат на утримання орендованого</w:t>
      </w:r>
      <w:bookmarkStart w:id="0" w:name="_GoBack"/>
      <w:bookmarkEnd w:id="0"/>
      <w:r w:rsidRPr="002C014C">
        <w:rPr>
          <w:sz w:val="28"/>
          <w:szCs w:val="28"/>
        </w:rPr>
        <w:t xml:space="preserve"> Майна та надання йому комунальних послуг за формою, наведеною в  додатку 6 до Порядку.</w:t>
      </w:r>
    </w:p>
    <w:p w:rsidR="00D07991" w:rsidRDefault="00D07991" w:rsidP="00D07991">
      <w:pPr>
        <w:ind w:firstLine="708"/>
        <w:jc w:val="both"/>
        <w:rPr>
          <w:sz w:val="28"/>
          <w:szCs w:val="28"/>
        </w:rPr>
      </w:pPr>
      <w:r>
        <w:rPr>
          <w:sz w:val="28"/>
          <w:szCs w:val="28"/>
        </w:rPr>
        <w:t xml:space="preserve">1.2. У зазначеному пункті  не знайшли відображення бюджетні позашкільні навчальні заклади, в тому числі дитячо-юнацькі спортивні школи спільної власності територіальних громад сіл, селища, міст Василівського району, які при організації позашкільної освіти (у формах, передбачених статутом позашкільного навчального закладу) на території та в приміщеннях </w:t>
      </w:r>
      <w:r>
        <w:rPr>
          <w:sz w:val="28"/>
          <w:szCs w:val="28"/>
          <w:lang w:eastAsia="uk-UA"/>
        </w:rPr>
        <w:t>комунальних закладів загальної середньої освіти спільної власності територіальних громад сіл, селища, міст Василівського району, звільняються від сплати за спожиті комунальні послуги та енергоносії.</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II. Обґрунтування, чому визначені проблеми не можуть бути розв’язані за допомогою ринкових механізмів і потребують державного регулювання.</w:t>
      </w:r>
    </w:p>
    <w:p w:rsidR="00D07991" w:rsidRDefault="00D07991" w:rsidP="00D07991">
      <w:pPr>
        <w:ind w:firstLine="708"/>
        <w:jc w:val="both"/>
        <w:rPr>
          <w:sz w:val="28"/>
          <w:szCs w:val="28"/>
        </w:rPr>
      </w:pPr>
      <w:r>
        <w:rPr>
          <w:sz w:val="28"/>
          <w:szCs w:val="28"/>
        </w:rPr>
        <w:t>Органи місцевого самоврядування від імені та в інтересах територіальних громад відповідно до Закону України «Про місцеве самоврядування в Україні» здійснюють правомочності щодо користування та розпорядження об’єктами права комунальній власності. Відповідно до Закону України «Про оренду державного та комунального майна» повноваження по визначенню Методики розрахунку орендної плати та пропорцій її розподілу для об’єктів, що перебувають у спільній власності територіальних громад району, надані органам місцевого самоврядування. Виходячи із зазначених норм чинного законодавства вирішення існуючих проблем потребує державного регулювання і можливо тільки шляхом прийняття запропонованого регуляторного акту – рішення районної ради.</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III. Обґрунтування, чому визначені проблеми не можуть бути розв’язані за допомогою діючих регуляторних актів, та розглянути можливість внесення змін до них.</w:t>
      </w:r>
    </w:p>
    <w:p w:rsidR="00D07991" w:rsidRDefault="00D07991" w:rsidP="00D07991">
      <w:pPr>
        <w:ind w:firstLine="708"/>
        <w:jc w:val="both"/>
        <w:rPr>
          <w:sz w:val="28"/>
          <w:szCs w:val="28"/>
        </w:rPr>
      </w:pPr>
      <w:r>
        <w:rPr>
          <w:sz w:val="28"/>
          <w:szCs w:val="28"/>
        </w:rPr>
        <w:t xml:space="preserve">Визначені проблеми не можуть бути розв’язані за допомогою діючого регуляторного акту, оскільки вони виникли саме при застосуванні його положень і норм, тому вирішити їх можливо тільки шляхом внесення </w:t>
      </w:r>
      <w:r>
        <w:rPr>
          <w:sz w:val="28"/>
          <w:szCs w:val="28"/>
        </w:rPr>
        <w:lastRenderedPageBreak/>
        <w:t>відповідних змін до діючого нормативно-правового документу на підставі запропонованого регуляторного акту.</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IV. Очікувані результати прийняття запропонованого регуляторного акту, очікувані витрати та вигоди суб’єктів господарювання, громадян та держави внаслідок регуляторного акту.</w:t>
      </w:r>
    </w:p>
    <w:p w:rsidR="00D07991" w:rsidRDefault="00D07991" w:rsidP="00D07991">
      <w:pPr>
        <w:ind w:firstLine="708"/>
        <w:jc w:val="both"/>
        <w:rPr>
          <w:sz w:val="28"/>
          <w:szCs w:val="28"/>
        </w:rPr>
      </w:pPr>
      <w:r>
        <w:rPr>
          <w:sz w:val="28"/>
          <w:szCs w:val="28"/>
        </w:rPr>
        <w:t>При прийнятті запропонованого регуляторного акту буде врегульовано питання щодо відшкодування Орендарем витрат за комунальні послуги.</w:t>
      </w:r>
    </w:p>
    <w:p w:rsidR="00D07991" w:rsidRDefault="00D07991" w:rsidP="00D07991">
      <w:pPr>
        <w:widowControl w:val="0"/>
        <w:autoSpaceDE w:val="0"/>
        <w:autoSpaceDN w:val="0"/>
        <w:adjustRightInd w:val="0"/>
        <w:ind w:firstLine="708"/>
        <w:jc w:val="both"/>
        <w:rPr>
          <w:sz w:val="28"/>
          <w:szCs w:val="28"/>
        </w:rPr>
      </w:pPr>
      <w:r>
        <w:rPr>
          <w:sz w:val="28"/>
          <w:szCs w:val="28"/>
        </w:rPr>
        <w:t xml:space="preserve">Бюджетні позашкільні навчальні заклади, в тому числі дитячо-юнацькі спортивні школи спільної власності територіальних громад сіл, селища, міст Василівського району, які орендують приміщення для організації позашкільної освіти  фінансуються з районного бюджету. </w:t>
      </w:r>
    </w:p>
    <w:p w:rsidR="00D07991" w:rsidRDefault="00D07991" w:rsidP="00D07991">
      <w:pPr>
        <w:ind w:firstLine="708"/>
        <w:jc w:val="both"/>
        <w:rPr>
          <w:sz w:val="28"/>
          <w:szCs w:val="28"/>
          <w:lang w:eastAsia="uk-UA"/>
        </w:rPr>
      </w:pPr>
      <w:r>
        <w:rPr>
          <w:sz w:val="28"/>
          <w:szCs w:val="28"/>
          <w:lang w:eastAsia="uk-UA"/>
        </w:rPr>
        <w:t>Орендодавці - комунальні заклади загальної середньої освіти спільної власності територіальних громад району, також фінансуються з районного бюджету. Тому для економії часу на проведення фінансових операції, пропонується  звільнити вищезазначених орендарів від сплати</w:t>
      </w:r>
      <w:r w:rsidRPr="001F478C">
        <w:rPr>
          <w:sz w:val="28"/>
          <w:szCs w:val="28"/>
          <w:lang w:eastAsia="uk-UA"/>
        </w:rPr>
        <w:t xml:space="preserve"> </w:t>
      </w:r>
      <w:r>
        <w:rPr>
          <w:sz w:val="28"/>
          <w:szCs w:val="28"/>
          <w:lang w:eastAsia="uk-UA"/>
        </w:rPr>
        <w:t>за спожиті комунальні послуги та енергоносії.</w:t>
      </w:r>
    </w:p>
    <w:p w:rsidR="00D07991" w:rsidRPr="00314891" w:rsidRDefault="00D07991" w:rsidP="00D07991">
      <w:pPr>
        <w:widowControl w:val="0"/>
        <w:autoSpaceDE w:val="0"/>
        <w:autoSpaceDN w:val="0"/>
        <w:adjustRightInd w:val="0"/>
        <w:ind w:firstLine="708"/>
        <w:jc w:val="both"/>
        <w:rPr>
          <w:rFonts w:ascii="Arial" w:hAnsi="Arial" w:cs="Arial"/>
          <w:sz w:val="28"/>
          <w:szCs w:val="28"/>
        </w:rPr>
      </w:pPr>
    </w:p>
    <w:p w:rsidR="00D07991" w:rsidRDefault="00D07991" w:rsidP="00D07991">
      <w:pPr>
        <w:ind w:firstLine="708"/>
        <w:jc w:val="both"/>
        <w:rPr>
          <w:b/>
          <w:sz w:val="28"/>
          <w:szCs w:val="28"/>
        </w:rPr>
      </w:pPr>
      <w:r>
        <w:rPr>
          <w:b/>
          <w:sz w:val="28"/>
          <w:szCs w:val="28"/>
        </w:rPr>
        <w:t>V. Цілі державного регулювання прийняття запропонованого акта.</w:t>
      </w:r>
    </w:p>
    <w:p w:rsidR="00D07991" w:rsidRDefault="00D07991" w:rsidP="00D07991">
      <w:pPr>
        <w:ind w:firstLine="708"/>
        <w:jc w:val="both"/>
        <w:rPr>
          <w:sz w:val="28"/>
          <w:szCs w:val="28"/>
        </w:rPr>
      </w:pPr>
      <w:r>
        <w:rPr>
          <w:sz w:val="28"/>
          <w:szCs w:val="28"/>
        </w:rPr>
        <w:t xml:space="preserve">Даний проект регуляторного акта спрямований на розв’язання проблем, визначених в першому розділі аналізу регуляторного впливу, і основною метою його прийняття є врегулювання питання, яким бюджетні позашкільні навчальні заклади, в тому числі дитячо-юнацькі спортивні школи спільної власності територіальних громад сіл, селища, міст Василівського району, які при організації позашкільної освіти (у формах, передбачених статутом позашкільного навчального закладу) на території та в приміщеннях </w:t>
      </w:r>
      <w:r>
        <w:rPr>
          <w:sz w:val="28"/>
          <w:szCs w:val="28"/>
          <w:lang w:eastAsia="uk-UA"/>
        </w:rPr>
        <w:t>комунальних закладів загальної середньої освіти спільної власності територіальних громад сіл, селища, міст Василівського району, звільняються від сплати за спожиті комунальні послуги та енергоносії.</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VI. Визначення та оцінка альтернативних способів досягнення визначених цілей, у тому числі ті із них, які не передбачають безпосереднього державного регулювання господарських відносин.</w:t>
      </w:r>
    </w:p>
    <w:p w:rsidR="00D07991" w:rsidRDefault="00D07991" w:rsidP="00D07991">
      <w:pPr>
        <w:jc w:val="both"/>
        <w:rPr>
          <w:sz w:val="28"/>
          <w:szCs w:val="28"/>
        </w:rPr>
      </w:pPr>
    </w:p>
    <w:p w:rsidR="00D07991" w:rsidRDefault="00D07991" w:rsidP="00D07991">
      <w:pPr>
        <w:ind w:firstLine="708"/>
        <w:jc w:val="both"/>
        <w:rPr>
          <w:sz w:val="28"/>
          <w:szCs w:val="28"/>
        </w:rPr>
      </w:pPr>
      <w:r>
        <w:rPr>
          <w:sz w:val="28"/>
          <w:szCs w:val="28"/>
        </w:rPr>
        <w:t xml:space="preserve"> I спосіб. Залишити діючий регуляторний акт без змін. У цьому випадку нормативно-правовий документ органу місцевого самоврядування буде відповідати нормам чинного законодавства не в повному обсязі, наслідок цього при врегулюванні питань оренди нерухомого майна спільної власності територіальних громад району, буде відсутня можливість уникнути спірних ситуацій. </w:t>
      </w:r>
    </w:p>
    <w:p w:rsidR="00D07991" w:rsidRDefault="00D07991" w:rsidP="00D07991">
      <w:pPr>
        <w:ind w:firstLine="708"/>
        <w:jc w:val="both"/>
        <w:rPr>
          <w:sz w:val="28"/>
          <w:szCs w:val="28"/>
        </w:rPr>
      </w:pPr>
      <w:r>
        <w:rPr>
          <w:sz w:val="28"/>
          <w:szCs w:val="28"/>
        </w:rPr>
        <w:t xml:space="preserve">II спосіб. Прийняти окремо рішення районної ради по встановленню орендної плати для конкретних орендарів, які на сьогодні звернулися з відповідними клопотаннями до районної ради. Вирішення проблеми таким шляхом буде тимчасовим, оскільки з часом можуть надходити додаткові звернення по відповідним питанням, і знову виникатимуть спірні питання </w:t>
      </w:r>
      <w:r>
        <w:rPr>
          <w:sz w:val="28"/>
          <w:szCs w:val="28"/>
        </w:rPr>
        <w:lastRenderedPageBreak/>
        <w:t xml:space="preserve">щодо обґрунтованості ставок орендної плати для орендарів, які тільки розпочинатимуть свою діяльність. </w:t>
      </w:r>
    </w:p>
    <w:p w:rsidR="00D07991" w:rsidRDefault="00D07991" w:rsidP="00D07991">
      <w:pPr>
        <w:ind w:firstLine="708"/>
        <w:jc w:val="both"/>
        <w:rPr>
          <w:sz w:val="28"/>
          <w:szCs w:val="28"/>
        </w:rPr>
      </w:pPr>
      <w:r>
        <w:rPr>
          <w:sz w:val="28"/>
          <w:szCs w:val="28"/>
        </w:rPr>
        <w:t>Від перелічених альтернатив необхідно відмовитись, оскільки вони не забезпечують досягнення встановленої цілі взагалі, або створюють умови для їх виникнення знову.</w:t>
      </w:r>
    </w:p>
    <w:p w:rsidR="00D07991" w:rsidRDefault="00D07991" w:rsidP="00D07991">
      <w:pPr>
        <w:ind w:firstLine="708"/>
        <w:jc w:val="both"/>
        <w:rPr>
          <w:sz w:val="28"/>
          <w:szCs w:val="28"/>
        </w:rPr>
      </w:pPr>
      <w:r>
        <w:rPr>
          <w:sz w:val="28"/>
          <w:szCs w:val="28"/>
        </w:rPr>
        <w:t>Вирішення проблем, зазначених у першому розділі АРВ, шляхом прийняття запропонованого регуляторного акту, є єдиним доцільним способом. Крім того, правомірним буде забезпечити участь громадськості у врегулюванні зазначених проблем, що можливо тільки при прийнятті запропонованого регуляторного акту.</w:t>
      </w:r>
    </w:p>
    <w:p w:rsidR="00D07991" w:rsidRDefault="00D07991" w:rsidP="00D07991">
      <w:pPr>
        <w:jc w:val="both"/>
        <w:rPr>
          <w:sz w:val="28"/>
          <w:szCs w:val="28"/>
        </w:rPr>
      </w:pPr>
    </w:p>
    <w:p w:rsidR="00D07991" w:rsidRDefault="00D07991" w:rsidP="00D07991">
      <w:pPr>
        <w:jc w:val="both"/>
        <w:rPr>
          <w:b/>
          <w:sz w:val="28"/>
          <w:szCs w:val="28"/>
        </w:rPr>
      </w:pPr>
      <w:r>
        <w:rPr>
          <w:sz w:val="28"/>
          <w:szCs w:val="28"/>
        </w:rPr>
        <w:t xml:space="preserve"> </w:t>
      </w:r>
      <w:r>
        <w:rPr>
          <w:sz w:val="28"/>
          <w:szCs w:val="28"/>
        </w:rPr>
        <w:tab/>
      </w:r>
      <w:r>
        <w:rPr>
          <w:b/>
          <w:sz w:val="28"/>
          <w:szCs w:val="28"/>
        </w:rPr>
        <w:t>VII. Аргументи переваги обраного способу досягнення встановлених цілей.</w:t>
      </w:r>
    </w:p>
    <w:p w:rsidR="00D07991" w:rsidRDefault="00D07991" w:rsidP="00D07991">
      <w:pPr>
        <w:ind w:firstLine="708"/>
        <w:jc w:val="both"/>
        <w:rPr>
          <w:sz w:val="28"/>
          <w:szCs w:val="28"/>
        </w:rPr>
      </w:pPr>
      <w:r>
        <w:rPr>
          <w:sz w:val="28"/>
          <w:szCs w:val="28"/>
        </w:rPr>
        <w:t>Прийняття запропонованого регуляторного акту дасть можливість встановити обґрунтовані та справедливі ставки орендної плати для окремих видів цільового використання комунального майна, врегулювати питання щодо встановлення орендної плати за оренду майна, що є спільною власністю територіальних громад району, уникнути виникнення спірних ситуацій при визначенні орендної плати для деяких видів цільового призначення приміщень. Прийняття регуляторного акту дасть можливість врахувати особливості відповідних видів цільового використання комунального майна, задовольнити у попиті на нього відповідні категорії споживачів.</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VIII. Опис механізмів і заходів, які забезпечать розв’язання визначених проблем шляхом прийняття запропонованого регуляторного акта.</w:t>
      </w:r>
    </w:p>
    <w:p w:rsidR="00D07991" w:rsidRDefault="00D07991" w:rsidP="00D07991">
      <w:pPr>
        <w:ind w:firstLine="708"/>
        <w:jc w:val="both"/>
        <w:rPr>
          <w:sz w:val="28"/>
          <w:szCs w:val="28"/>
        </w:rPr>
      </w:pPr>
      <w:r>
        <w:rPr>
          <w:sz w:val="28"/>
          <w:szCs w:val="28"/>
        </w:rPr>
        <w:t>Механізмом розв’язання визначеної проблеми за рахунок прийняття запропонованого регуляторного акту буде встановлення обґрунтованих та справедливих дій між Орендодавцем та Орендарем щодо сплати за комунальні послуги в орендованих приміщеннях</w:t>
      </w:r>
      <w:r w:rsidRPr="00041025">
        <w:rPr>
          <w:sz w:val="28"/>
          <w:szCs w:val="28"/>
          <w:lang w:eastAsia="uk-UA"/>
        </w:rPr>
        <w:t xml:space="preserve"> </w:t>
      </w:r>
      <w:r>
        <w:rPr>
          <w:sz w:val="28"/>
          <w:szCs w:val="28"/>
          <w:lang w:eastAsia="uk-UA"/>
        </w:rPr>
        <w:t>комунальних закладів загальної середньої освіти спільної власності територіальних громад сіл, селища, міст Василівського району.</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IX. Обґрунтування можливості досягнення встановлених цілей у разі прийняття запропонованого регуляторного акта.</w:t>
      </w:r>
    </w:p>
    <w:p w:rsidR="00D07991" w:rsidRDefault="00D07991" w:rsidP="00D07991">
      <w:pPr>
        <w:ind w:firstLine="708"/>
        <w:jc w:val="both"/>
        <w:rPr>
          <w:rFonts w:ascii="Arial" w:hAnsi="Arial" w:cs="Arial"/>
          <w:sz w:val="28"/>
          <w:szCs w:val="28"/>
        </w:rPr>
      </w:pPr>
      <w:r>
        <w:rPr>
          <w:sz w:val="28"/>
          <w:szCs w:val="28"/>
        </w:rPr>
        <w:t xml:space="preserve">В разі прийняття запропонованого регуляторного акта встановлена ціль буде досягнута за рахунок </w:t>
      </w:r>
      <w:r>
        <w:rPr>
          <w:sz w:val="28"/>
          <w:szCs w:val="28"/>
          <w:lang w:eastAsia="uk-UA"/>
        </w:rPr>
        <w:t>звільнення від сплати за спожиті комунальні послуги та енергоносії,</w:t>
      </w:r>
      <w:r>
        <w:rPr>
          <w:sz w:val="28"/>
          <w:szCs w:val="28"/>
        </w:rPr>
        <w:t xml:space="preserve"> позашкільних навчальних закладів, в тому числі дитячо-юнацьких спортивних шкіл спільної власності територіальних громад сіл, селища, міст Василівського району при організації позашкільної освіти на території та в приміщеннях </w:t>
      </w:r>
      <w:r>
        <w:rPr>
          <w:sz w:val="28"/>
          <w:szCs w:val="28"/>
          <w:lang w:eastAsia="uk-UA"/>
        </w:rPr>
        <w:t>комунальних закладів загальної середньої освіти району</w:t>
      </w:r>
    </w:p>
    <w:p w:rsidR="00D07991" w:rsidRDefault="00D07991" w:rsidP="00D07991">
      <w:pPr>
        <w:ind w:firstLine="708"/>
        <w:jc w:val="both"/>
        <w:rPr>
          <w:b/>
          <w:sz w:val="28"/>
          <w:szCs w:val="28"/>
        </w:rPr>
      </w:pPr>
    </w:p>
    <w:p w:rsidR="00D07991" w:rsidRDefault="00D07991" w:rsidP="00D07991">
      <w:pPr>
        <w:ind w:firstLine="708"/>
        <w:jc w:val="both"/>
        <w:rPr>
          <w:b/>
          <w:sz w:val="28"/>
          <w:szCs w:val="28"/>
        </w:rPr>
      </w:pPr>
      <w:r>
        <w:rPr>
          <w:b/>
          <w:sz w:val="28"/>
          <w:szCs w:val="28"/>
        </w:rPr>
        <w:lastRenderedPageBreak/>
        <w:t xml:space="preserve">X. Обґрунтування, що вигоди, які виникатимуть внаслідок дії запропонованого регуляторного акту, виправдовують відповідні витрати у випадку, якщо витрати та/або вигоди не можуть бути кількісно визначені: </w:t>
      </w:r>
    </w:p>
    <w:p w:rsidR="00D07991" w:rsidRDefault="00D07991" w:rsidP="00D07991">
      <w:pPr>
        <w:jc w:val="both"/>
        <w:rPr>
          <w:sz w:val="28"/>
          <w:szCs w:val="28"/>
        </w:rPr>
      </w:pPr>
    </w:p>
    <w:p w:rsidR="00D07991" w:rsidRDefault="00D07991" w:rsidP="00D07991">
      <w:pPr>
        <w:jc w:val="both"/>
        <w:rPr>
          <w:sz w:val="28"/>
          <w:szCs w:val="28"/>
        </w:rPr>
      </w:pPr>
      <w:r>
        <w:rPr>
          <w:sz w:val="28"/>
          <w:szCs w:val="28"/>
        </w:rPr>
        <w:t>Сфера впливу                                    Вигоди</w:t>
      </w:r>
      <w:r>
        <w:rPr>
          <w:sz w:val="28"/>
          <w:szCs w:val="28"/>
        </w:rPr>
        <w:tab/>
        <w:t xml:space="preserve">                            Витрати</w:t>
      </w:r>
    </w:p>
    <w:p w:rsidR="00D07991" w:rsidRDefault="00D07991" w:rsidP="00D07991">
      <w:pPr>
        <w:jc w:val="both"/>
        <w:rPr>
          <w:sz w:val="28"/>
          <w:szCs w:val="28"/>
        </w:rPr>
      </w:pPr>
    </w:p>
    <w:p w:rsidR="00D07991" w:rsidRDefault="00D07991" w:rsidP="00D07991">
      <w:pPr>
        <w:ind w:firstLine="708"/>
        <w:jc w:val="both"/>
        <w:rPr>
          <w:sz w:val="28"/>
          <w:szCs w:val="28"/>
        </w:rPr>
      </w:pPr>
      <w:r>
        <w:rPr>
          <w:sz w:val="28"/>
          <w:szCs w:val="28"/>
        </w:rPr>
        <w:t>Виконавчий апарат районної ради, заклади та установи спільної власності територіальних громад району.</w:t>
      </w:r>
      <w:r>
        <w:rPr>
          <w:sz w:val="28"/>
          <w:szCs w:val="28"/>
        </w:rPr>
        <w:tab/>
      </w:r>
    </w:p>
    <w:p w:rsidR="00D07991" w:rsidRPr="00314891" w:rsidRDefault="00D07991" w:rsidP="00D07991">
      <w:pPr>
        <w:ind w:firstLine="708"/>
        <w:jc w:val="both"/>
        <w:rPr>
          <w:rFonts w:ascii="Arial" w:hAnsi="Arial" w:cs="Arial"/>
          <w:sz w:val="28"/>
          <w:szCs w:val="28"/>
        </w:rPr>
      </w:pPr>
      <w:r>
        <w:rPr>
          <w:sz w:val="28"/>
          <w:szCs w:val="28"/>
          <w:lang w:eastAsia="uk-UA"/>
        </w:rPr>
        <w:t>Економія часу на проведення фінансових операції щодо розрахунку за комунальні послуги.</w:t>
      </w:r>
    </w:p>
    <w:p w:rsidR="00D07991" w:rsidRDefault="00D07991" w:rsidP="00D07991">
      <w:pPr>
        <w:ind w:firstLine="708"/>
        <w:jc w:val="both"/>
        <w:rPr>
          <w:sz w:val="28"/>
          <w:szCs w:val="28"/>
        </w:rPr>
      </w:pPr>
      <w:r>
        <w:rPr>
          <w:sz w:val="28"/>
          <w:szCs w:val="28"/>
        </w:rPr>
        <w:t>Додаткові витрати відсутні.</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XI. Оцінка ризику впливу зовнішніх чинників на дію регуляторного акта.</w:t>
      </w:r>
    </w:p>
    <w:p w:rsidR="00D07991" w:rsidRDefault="00D07991" w:rsidP="00D07991">
      <w:pPr>
        <w:ind w:firstLine="708"/>
        <w:jc w:val="both"/>
        <w:rPr>
          <w:sz w:val="28"/>
          <w:szCs w:val="28"/>
        </w:rPr>
      </w:pPr>
      <w:r>
        <w:rPr>
          <w:sz w:val="28"/>
          <w:szCs w:val="28"/>
        </w:rPr>
        <w:t>Найбільш впливовими зовнішніми чинниками на дію регуляторного акту будуть:</w:t>
      </w:r>
    </w:p>
    <w:p w:rsidR="00D07991" w:rsidRDefault="00D07991" w:rsidP="00D07991">
      <w:pPr>
        <w:jc w:val="both"/>
        <w:rPr>
          <w:sz w:val="28"/>
          <w:szCs w:val="28"/>
        </w:rPr>
      </w:pPr>
      <w:r>
        <w:rPr>
          <w:sz w:val="28"/>
          <w:szCs w:val="28"/>
        </w:rPr>
        <w:t>- внесення змін до чинного законодавства з питань регулювання відносин, пов’язаних з передачею майна в оренду;</w:t>
      </w:r>
    </w:p>
    <w:p w:rsidR="00D07991" w:rsidRDefault="00D07991" w:rsidP="00D07991">
      <w:pPr>
        <w:jc w:val="both"/>
        <w:rPr>
          <w:sz w:val="28"/>
          <w:szCs w:val="28"/>
        </w:rPr>
      </w:pPr>
      <w:r>
        <w:rPr>
          <w:sz w:val="28"/>
          <w:szCs w:val="28"/>
        </w:rPr>
        <w:t>- внесення змін до чинного законодавства з питань визначення організаційних і правових засад у сфері регулювання господарських відносин.</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XIІ. Обґрунтування строку чинності регуляторного акта.</w:t>
      </w:r>
    </w:p>
    <w:p w:rsidR="00D07991" w:rsidRDefault="00D07991" w:rsidP="00D07991">
      <w:pPr>
        <w:ind w:firstLine="708"/>
        <w:jc w:val="both"/>
        <w:rPr>
          <w:sz w:val="28"/>
          <w:szCs w:val="28"/>
        </w:rPr>
      </w:pPr>
      <w:r>
        <w:rPr>
          <w:sz w:val="28"/>
          <w:szCs w:val="28"/>
        </w:rPr>
        <w:t>Термін дії регуляторного акту пропонується строго не встановлювати, оскільки визначені ним положення залежать від вимог діючих нормативно-правових актів у сфері регулювання відносин, пов’язаних з передачею майна в оренду, а тому внесення будь-яких суттєвих змін у чинне законодавство вимагатиме перегляду відповідного регуляторного акту, внесення до нього змін або доповнень.</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XІІІ. Визначення показників результативності цього регуляторного акта.</w:t>
      </w:r>
    </w:p>
    <w:p w:rsidR="00D07991" w:rsidRDefault="00D07991" w:rsidP="00D07991">
      <w:pPr>
        <w:jc w:val="both"/>
        <w:rPr>
          <w:sz w:val="28"/>
          <w:szCs w:val="28"/>
        </w:rPr>
      </w:pPr>
      <w:r>
        <w:rPr>
          <w:sz w:val="28"/>
          <w:szCs w:val="28"/>
        </w:rPr>
        <w:t>Для відстеження результативності регуляторного акту пропонується визначити наступні показники:</w:t>
      </w:r>
    </w:p>
    <w:p w:rsidR="00D07991" w:rsidRDefault="00D07991" w:rsidP="00D07991">
      <w:pPr>
        <w:jc w:val="both"/>
        <w:rPr>
          <w:sz w:val="28"/>
          <w:szCs w:val="28"/>
        </w:rPr>
      </w:pPr>
    </w:p>
    <w:p w:rsidR="00D07991" w:rsidRDefault="00D07991" w:rsidP="00D07991">
      <w:pPr>
        <w:ind w:firstLine="708"/>
        <w:jc w:val="both"/>
        <w:rPr>
          <w:sz w:val="28"/>
          <w:szCs w:val="28"/>
        </w:rPr>
      </w:pPr>
      <w:r>
        <w:rPr>
          <w:sz w:val="28"/>
          <w:szCs w:val="28"/>
        </w:rPr>
        <w:t>1.Обсяг надходжень орендної плати за користування майном, що перебуває у спільній власності територіальних громад району, включаючи надходження до районного бюджету та безпосередньо на рахунки орендодавців.</w:t>
      </w:r>
    </w:p>
    <w:p w:rsidR="00D07991" w:rsidRDefault="00D07991" w:rsidP="00D07991">
      <w:pPr>
        <w:ind w:firstLine="708"/>
        <w:jc w:val="both"/>
        <w:rPr>
          <w:sz w:val="28"/>
          <w:szCs w:val="28"/>
        </w:rPr>
      </w:pPr>
      <w:r>
        <w:rPr>
          <w:sz w:val="28"/>
          <w:szCs w:val="28"/>
        </w:rPr>
        <w:t>Оскільки метою прийняття регуляторного акту є врегулювання питання сплати за комунальні послуги та енергоносії окремими бюджетними закладами та установами, обсяги надходжень орендної плати не зменшаться.</w:t>
      </w:r>
    </w:p>
    <w:p w:rsidR="00D07991" w:rsidRDefault="00D07991" w:rsidP="00D07991">
      <w:pPr>
        <w:jc w:val="both"/>
        <w:rPr>
          <w:sz w:val="28"/>
          <w:szCs w:val="28"/>
        </w:rPr>
      </w:pPr>
    </w:p>
    <w:p w:rsidR="00D07991" w:rsidRDefault="00D07991" w:rsidP="00D07991">
      <w:pPr>
        <w:ind w:firstLine="708"/>
        <w:jc w:val="both"/>
        <w:rPr>
          <w:sz w:val="28"/>
          <w:szCs w:val="28"/>
        </w:rPr>
      </w:pPr>
      <w:r>
        <w:rPr>
          <w:sz w:val="28"/>
          <w:szCs w:val="28"/>
        </w:rPr>
        <w:lastRenderedPageBreak/>
        <w:t>2.Кількість суб'єктів господарювання, на які поширюватиметься дія регуляторного акта.</w:t>
      </w:r>
    </w:p>
    <w:p w:rsidR="00D07991" w:rsidRDefault="00D07991" w:rsidP="00D07991">
      <w:pPr>
        <w:ind w:firstLine="708"/>
        <w:jc w:val="both"/>
        <w:rPr>
          <w:sz w:val="28"/>
          <w:szCs w:val="28"/>
        </w:rPr>
      </w:pPr>
      <w:r>
        <w:rPr>
          <w:sz w:val="28"/>
          <w:szCs w:val="28"/>
        </w:rPr>
        <w:t>Даний показник відповідатиме кількості договорів, укладених орендодавцями на оренду майна, що є власністю територіальних громад району.</w:t>
      </w:r>
    </w:p>
    <w:p w:rsidR="00D07991" w:rsidRDefault="00D07991" w:rsidP="00D07991">
      <w:pPr>
        <w:jc w:val="both"/>
        <w:rPr>
          <w:sz w:val="28"/>
          <w:szCs w:val="28"/>
        </w:rPr>
      </w:pPr>
    </w:p>
    <w:p w:rsidR="00D07991" w:rsidRDefault="00D07991" w:rsidP="00D07991">
      <w:pPr>
        <w:ind w:firstLine="708"/>
        <w:jc w:val="both"/>
        <w:rPr>
          <w:sz w:val="28"/>
          <w:szCs w:val="28"/>
        </w:rPr>
      </w:pPr>
      <w:r>
        <w:rPr>
          <w:sz w:val="28"/>
          <w:szCs w:val="28"/>
        </w:rPr>
        <w:t>3. Рівень поінформованості суб'єктів господарювання та/або фізичних осіб щодо основних положень акта очікується високий за рахунок розміщення проекту регуляторного акту в мережі Інтернет на офіційному сайті Василівської районної ради та в друкованому вигляді на сторінках районної газети «Нова Таврія». Після прийняття регуляторний акт буде опубліковано на веб-сайті та в районній газеті «Нова Таврія».</w:t>
      </w:r>
    </w:p>
    <w:p w:rsidR="00D07991" w:rsidRDefault="00D07991" w:rsidP="00D07991">
      <w:pPr>
        <w:ind w:firstLine="708"/>
        <w:jc w:val="both"/>
        <w:rPr>
          <w:sz w:val="28"/>
          <w:szCs w:val="28"/>
        </w:rPr>
      </w:pPr>
      <w:r>
        <w:rPr>
          <w:sz w:val="28"/>
          <w:szCs w:val="28"/>
        </w:rPr>
        <w:t>4. Розмір коштів і час, що витрачатимуться суб’єктами господарювання, пов’язаними з виконанням вимог регуляторного акта.</w:t>
      </w:r>
    </w:p>
    <w:p w:rsidR="00D07991" w:rsidRDefault="00D07991" w:rsidP="00D07991">
      <w:pPr>
        <w:ind w:firstLine="708"/>
        <w:jc w:val="both"/>
        <w:rPr>
          <w:sz w:val="28"/>
          <w:szCs w:val="28"/>
        </w:rPr>
      </w:pPr>
      <w:r>
        <w:rPr>
          <w:sz w:val="28"/>
          <w:szCs w:val="28"/>
        </w:rPr>
        <w:t xml:space="preserve">Витрати часу на укладання договору оренди, або додаткової угоди до нього. </w:t>
      </w:r>
    </w:p>
    <w:p w:rsidR="00D07991" w:rsidRDefault="00D07991" w:rsidP="00D07991">
      <w:pPr>
        <w:jc w:val="both"/>
        <w:rPr>
          <w:sz w:val="28"/>
          <w:szCs w:val="28"/>
        </w:rPr>
      </w:pPr>
    </w:p>
    <w:p w:rsidR="00D07991" w:rsidRDefault="00D07991" w:rsidP="00D07991">
      <w:pPr>
        <w:ind w:firstLine="708"/>
        <w:jc w:val="both"/>
        <w:rPr>
          <w:b/>
          <w:sz w:val="28"/>
          <w:szCs w:val="28"/>
        </w:rPr>
      </w:pPr>
      <w:r>
        <w:rPr>
          <w:b/>
          <w:sz w:val="28"/>
          <w:szCs w:val="28"/>
        </w:rPr>
        <w:t>XІV. Заходи, за допомогою яких буде здійснюватись відстеження результативності регуляторного акту в разі його прийняття.</w:t>
      </w:r>
    </w:p>
    <w:p w:rsidR="00D07991" w:rsidRDefault="00D07991" w:rsidP="00D07991">
      <w:pPr>
        <w:ind w:firstLine="720"/>
        <w:jc w:val="both"/>
        <w:rPr>
          <w:sz w:val="28"/>
          <w:szCs w:val="28"/>
        </w:rPr>
      </w:pPr>
      <w:r>
        <w:rPr>
          <w:sz w:val="28"/>
          <w:szCs w:val="28"/>
        </w:rPr>
        <w:t>Відстеження результативності дії регуляторного акту буде здійснюватися відділом організаційно-правової роботи виконавчого апарату Василівської районної ради.</w:t>
      </w:r>
    </w:p>
    <w:p w:rsidR="00D07991" w:rsidRDefault="00D07991" w:rsidP="00D07991">
      <w:pPr>
        <w:ind w:firstLine="720"/>
        <w:jc w:val="both"/>
        <w:rPr>
          <w:sz w:val="28"/>
          <w:szCs w:val="28"/>
        </w:rPr>
      </w:pPr>
      <w:r>
        <w:rPr>
          <w:sz w:val="28"/>
          <w:szCs w:val="28"/>
        </w:rPr>
        <w:t>Базове відстеження результативності акту буде здійснюватися до дати набрання чинності цього акта шляхом аналізу показників результативності регуляторного акту.</w:t>
      </w:r>
    </w:p>
    <w:p w:rsidR="00D07991" w:rsidRDefault="00D07991" w:rsidP="00D07991">
      <w:pPr>
        <w:ind w:firstLine="720"/>
        <w:jc w:val="both"/>
        <w:rPr>
          <w:sz w:val="28"/>
          <w:szCs w:val="28"/>
        </w:rPr>
      </w:pPr>
      <w:r>
        <w:rPr>
          <w:sz w:val="28"/>
          <w:szCs w:val="28"/>
        </w:rPr>
        <w:t>Повторне відстеження планується здійснити через рік після набуття</w:t>
      </w:r>
      <w:r>
        <w:rPr>
          <w:b/>
          <w:sz w:val="28"/>
          <w:szCs w:val="28"/>
        </w:rPr>
        <w:t xml:space="preserve">   </w:t>
      </w:r>
      <w:r>
        <w:rPr>
          <w:sz w:val="28"/>
          <w:szCs w:val="28"/>
        </w:rPr>
        <w:t xml:space="preserve">чинності регуляторного акта, але не пізніше ніж через два роки, в результаті якого відбудеться порівняння показників базового та повторного обстеження. У 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 </w:t>
      </w:r>
    </w:p>
    <w:p w:rsidR="00D07991" w:rsidRDefault="00D07991" w:rsidP="00D07991">
      <w:pPr>
        <w:ind w:firstLine="720"/>
        <w:jc w:val="both"/>
        <w:rPr>
          <w:sz w:val="28"/>
          <w:szCs w:val="28"/>
        </w:rPr>
      </w:pPr>
      <w:r>
        <w:rPr>
          <w:sz w:val="28"/>
          <w:szCs w:val="28"/>
        </w:rPr>
        <w:t>Періодичне відстеження здійснюється раз на три роки, починаючи з дня виконання заходів з повторного відстеження.</w:t>
      </w:r>
    </w:p>
    <w:p w:rsidR="00D07991" w:rsidRDefault="00D07991" w:rsidP="00D07991">
      <w:pPr>
        <w:ind w:firstLine="720"/>
        <w:jc w:val="both"/>
        <w:rPr>
          <w:sz w:val="28"/>
          <w:szCs w:val="28"/>
        </w:rPr>
      </w:pPr>
      <w:r>
        <w:rPr>
          <w:sz w:val="28"/>
          <w:szCs w:val="28"/>
        </w:rPr>
        <w:t>Встановлені кількісні та якісні значення показників результативності акта порівнюються із значенням аналогічних показників, що встановлені під час повторного відстеження.</w:t>
      </w:r>
    </w:p>
    <w:p w:rsidR="00D07991" w:rsidRDefault="00D07991" w:rsidP="00D07991">
      <w:pPr>
        <w:ind w:firstLine="708"/>
        <w:jc w:val="both"/>
        <w:rPr>
          <w:sz w:val="28"/>
          <w:szCs w:val="28"/>
        </w:rPr>
      </w:pPr>
      <w:r>
        <w:rPr>
          <w:sz w:val="28"/>
          <w:szCs w:val="28"/>
        </w:rPr>
        <w:t>Вищезазначені звіти будуть розміщені на офіційному сайті Василівської районної ради.</w:t>
      </w:r>
    </w:p>
    <w:p w:rsidR="00D07991" w:rsidRDefault="00D07991" w:rsidP="00D07991">
      <w:pPr>
        <w:ind w:firstLine="708"/>
        <w:jc w:val="both"/>
        <w:rPr>
          <w:sz w:val="28"/>
          <w:szCs w:val="28"/>
        </w:rPr>
      </w:pPr>
      <w:r>
        <w:rPr>
          <w:sz w:val="28"/>
          <w:szCs w:val="28"/>
        </w:rPr>
        <w:t>Аналіз регуляторного впливу підготовлено відділом організаційно-правової роботи виконавчого апарату Василівської районної ради.</w:t>
      </w:r>
    </w:p>
    <w:p w:rsidR="00D07991" w:rsidRDefault="00D07991" w:rsidP="00D07991">
      <w:pPr>
        <w:jc w:val="both"/>
        <w:rPr>
          <w:sz w:val="28"/>
          <w:szCs w:val="28"/>
        </w:rPr>
      </w:pPr>
    </w:p>
    <w:p w:rsidR="00D07991" w:rsidRDefault="00D07991" w:rsidP="00D07991">
      <w:pPr>
        <w:jc w:val="both"/>
        <w:rPr>
          <w:sz w:val="28"/>
          <w:szCs w:val="28"/>
        </w:rPr>
      </w:pPr>
    </w:p>
    <w:p w:rsidR="00D07991" w:rsidRDefault="00D07991" w:rsidP="00D07991">
      <w:pPr>
        <w:jc w:val="both"/>
        <w:rPr>
          <w:sz w:val="28"/>
          <w:szCs w:val="28"/>
        </w:rPr>
      </w:pPr>
      <w:r>
        <w:rPr>
          <w:sz w:val="28"/>
          <w:szCs w:val="28"/>
        </w:rPr>
        <w:t>Голова районної ради                                                                          Д.С.Калінін</w:t>
      </w:r>
    </w:p>
    <w:p w:rsidR="00D07991" w:rsidRDefault="00D07991" w:rsidP="00D07991"/>
    <w:p w:rsidR="00026A72" w:rsidRPr="00D07991" w:rsidRDefault="00026A72"/>
    <w:sectPr w:rsidR="00026A72" w:rsidRPr="00D07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30"/>
    <w:rsid w:val="00026A72"/>
    <w:rsid w:val="001F4577"/>
    <w:rsid w:val="0041362C"/>
    <w:rsid w:val="006350F3"/>
    <w:rsid w:val="00CB7C21"/>
    <w:rsid w:val="00D07991"/>
    <w:rsid w:val="00DA2522"/>
    <w:rsid w:val="00E30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0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50F3"/>
    <w:rPr>
      <w:color w:val="0000FF"/>
      <w:u w:val="single"/>
    </w:rPr>
  </w:style>
  <w:style w:type="paragraph" w:customStyle="1" w:styleId="ParagraphStyle">
    <w:name w:val="Paragraph Style"/>
    <w:rsid w:val="006350F3"/>
    <w:pPr>
      <w:autoSpaceDE w:val="0"/>
      <w:autoSpaceDN w:val="0"/>
      <w:spacing w:after="0" w:line="240" w:lineRule="auto"/>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0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50F3"/>
    <w:rPr>
      <w:color w:val="0000FF"/>
      <w:u w:val="single"/>
    </w:rPr>
  </w:style>
  <w:style w:type="paragraph" w:customStyle="1" w:styleId="ParagraphStyle">
    <w:name w:val="Paragraph Style"/>
    <w:rsid w:val="006350F3"/>
    <w:pPr>
      <w:autoSpaceDE w:val="0"/>
      <w:autoSpaceDN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2019-04-03T12:01:00Z</dcterms:created>
  <dcterms:modified xsi:type="dcterms:W3CDTF">2019-04-03T12:01:00Z</dcterms:modified>
</cp:coreProperties>
</file>